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7901fbac6412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14275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SAMOBOR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2.126.777,17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2.192.395,81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2.364.636,17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2.173.167,37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19.228,44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4.800,68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18.368,72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4.800,68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18.368,72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382,6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859,72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Financijski izvještaj za razdoblje od 01.01.2026. - 30.06.2026.godine za Osnovnu školu Samobor. </w:t>
      </w:r>
    </w:p>
    <w:p>
      <w:r>
        <w:t xml:space="preserve">Podaci u izvještaju temelje se na poslovnim promjenama evidentiranim u službenim knjigovodstvenim evidencijama za izvještajno razdoblje. Prihodi i rashodi iskazani su prema ekonomskom klasifikaciji te su usklađeni s nadležnim proračunom. Sredstva su korištena namjenski u skladu s usvojenim financijskim planom.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405,78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4.083,05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1006,2</w:t>
            </w:r>
          </w:p>
        </w:tc>
      </w:tr>
    </w:tbl>
    <w:p>
      <w:pPr>
        <w:spacing w:before="0" w:after="0"/>
      </w:pPr>
    </w:p>
    <w:p>
      <w:r>
        <w:t xml:space="preserve">Povećanje prihoda u odnosu na isto izvještajno razdoblje prethodne godine, dolazi zbog podmirivanja računa za najam korisnika školskog prostora odnosno računa za razgraničenje troškova.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405,78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4.083,05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1006,2</w:t>
            </w:r>
          </w:p>
        </w:tc>
      </w:tr>
    </w:tbl>
    <w:p>
      <w:pPr>
        <w:spacing w:before="0" w:after="0"/>
      </w:pPr>
    </w:p>
    <w:p>
      <w:r>
        <w:t xml:space="preserve">Povećanje prihoda u odnosu na isto izvještajno razdoblje prethodne godine, dolazi zbog podmirivanja računa za najam korisnika školskog prostora odnosno računa za razgraničenje troškova.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2.712,90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563,3</w:t>
            </w:r>
          </w:p>
        </w:tc>
      </w:tr>
    </w:tbl>
    <w:p>
      <w:pPr>
        <w:spacing w:before="0" w:after="0"/>
      </w:pPr>
    </w:p>
    <w:p>
      <w:r>
        <w:t xml:space="preserve">U okviru računa 3239 Ostale usluge, knjižili su se rashodi za usluge izvanučioničke nastave (sredstva ostvarena sudjelovanjem na Samoborskom fašniku).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879,78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441,9</w:t>
            </w:r>
          </w:p>
        </w:tc>
      </w:tr>
    </w:tbl>
    <w:p>
      <w:pPr>
        <w:spacing w:before="0" w:after="0"/>
      </w:pPr>
    </w:p>
    <w:p>
      <w:r>
        <w:t xml:space="preserve">Rashodi za naknade članovima Školskog odbora za sudjelovanje na sjednicama. Povećanje rashoda dijelom je i zbog povećanja naknade za rad članova predstavničkih i izvršnih tijela.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420,88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1.113,92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264,7</w:t>
            </w:r>
          </w:p>
        </w:tc>
      </w:tr>
    </w:tbl>
    <w:p>
      <w:pPr>
        <w:spacing w:before="0" w:after="0"/>
      </w:pPr>
    </w:p>
    <w:p>
      <w:r>
        <w:t xml:space="preserve">Naknade roditeljima za prijevoz učenika sa udaljenih područja koji nemaju mogućnost dolaska/odlaska na/sa nastavu redovnim linijskim prijevozom.</w:t>
      </w:r>
    </w:p>
    <w:p>
      <w:r>
        <w:t xml:space="preserve">Naknade roditeljima za prijevoz učenika sa teškoćama u razvoju.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5.950,17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926,5</w:t>
            </w:r>
          </w:p>
        </w:tc>
      </w:tr>
    </w:tbl>
    <w:p>
      <w:pPr>
        <w:spacing w:before="0" w:after="0"/>
      </w:pPr>
    </w:p>
    <w:p>
      <w:r>
        <w:t xml:space="preserve">U oviru računa 3722 knjižili su se nastali rashodi u vidu sufinanciranja izvanučioničkih nastava i sl.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4.800,68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18.368,72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382,6</w:t>
            </w:r>
          </w:p>
        </w:tc>
      </w:tr>
    </w:tbl>
    <w:p>
      <w:pPr>
        <w:spacing w:before="0" w:after="0"/>
      </w:pPr>
    </w:p>
    <w:p>
      <w:r>
        <w:t xml:space="preserve">Do povećanja rashoda za nabavu proizvedene dugotrajne imovine u odnosu na isto izvještajno razdoblje prethodne godine dolazi zbog povećanog ulaganja u dugotrajnu imovinu, iz više izvora financiranja.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89.934,58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iznose 89.934,58 eura, odnose se na redovno poslovanje te će biti podmirene od strane nadležnog proračuna u skladu s raspoloživim sredstvima i dinamikom izvršenja proračuna.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Škola preko osnivača koristi sredstva za financiranja rashoda za pomoćnike u nastavi za rad djece s teškoćama u razvoju. Sredstva se koriste iz Europskog socijalnog fonda i Nacionalnog sufinanciranja.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d5b84d288648b9" /></Relationships>
</file>